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9259346" r:id="rId9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20617C76" w:rsidR="002927D8" w:rsidRPr="002927D8" w:rsidRDefault="002927D8" w:rsidP="0078248F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78248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31B780AB" w:rsidR="005154BC" w:rsidRDefault="0078248F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635DF9C4" w:rsidR="005154BC" w:rsidRPr="004F4440" w:rsidRDefault="004F4440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344492ED" w14:textId="77777777" w:rsidR="0078248F" w:rsidRDefault="008F6D99" w:rsidP="007824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орієнтовною </w:t>
      </w:r>
      <w:r w:rsidR="0078248F" w:rsidRPr="0078248F">
        <w:rPr>
          <w:rFonts w:ascii="Times New Roman" w:hAnsi="Times New Roman"/>
          <w:b/>
          <w:bCs/>
          <w:sz w:val="24"/>
          <w:szCs w:val="24"/>
        </w:rPr>
        <w:t>площею 2,4 га, для розміщення торгівельної</w:t>
      </w:r>
    </w:p>
    <w:p w14:paraId="3E4A2A5D" w14:textId="39882A20" w:rsidR="0078248F" w:rsidRPr="0078248F" w:rsidRDefault="0078248F" w:rsidP="007824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248F">
        <w:rPr>
          <w:rFonts w:ascii="Times New Roman" w:hAnsi="Times New Roman"/>
          <w:b/>
          <w:bCs/>
          <w:sz w:val="24"/>
          <w:szCs w:val="24"/>
        </w:rPr>
        <w:t>будівлі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248F">
        <w:rPr>
          <w:rFonts w:ascii="Times New Roman" w:hAnsi="Times New Roman"/>
          <w:b/>
          <w:bCs/>
          <w:sz w:val="24"/>
          <w:szCs w:val="24"/>
        </w:rPr>
        <w:t>в межах вулиць Героїв Майдану, Островського,</w:t>
      </w:r>
    </w:p>
    <w:p w14:paraId="3E47FEBD" w14:textId="77777777" w:rsidR="0078248F" w:rsidRPr="0078248F" w:rsidRDefault="0078248F" w:rsidP="007824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248F">
        <w:rPr>
          <w:rFonts w:ascii="Times New Roman" w:hAnsi="Times New Roman"/>
          <w:b/>
          <w:bCs/>
          <w:sz w:val="24"/>
          <w:szCs w:val="24"/>
        </w:rPr>
        <w:t xml:space="preserve">пров. Санаторного, багатоквартирної  та садибної </w:t>
      </w:r>
    </w:p>
    <w:p w14:paraId="6B04610A" w14:textId="77777777" w:rsidR="0078248F" w:rsidRPr="0078248F" w:rsidRDefault="0078248F" w:rsidP="007824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248F">
        <w:rPr>
          <w:rFonts w:ascii="Times New Roman" w:hAnsi="Times New Roman"/>
          <w:b/>
          <w:bCs/>
          <w:sz w:val="24"/>
          <w:szCs w:val="24"/>
        </w:rPr>
        <w:t xml:space="preserve">житлової забудови в м. Буча </w:t>
      </w:r>
      <w:proofErr w:type="spellStart"/>
      <w:r w:rsidRPr="0078248F">
        <w:rPr>
          <w:rFonts w:ascii="Times New Roman" w:hAnsi="Times New Roman"/>
          <w:b/>
          <w:bCs/>
          <w:sz w:val="24"/>
          <w:szCs w:val="24"/>
        </w:rPr>
        <w:t>Бучанського</w:t>
      </w:r>
      <w:proofErr w:type="spellEnd"/>
      <w:r w:rsidRPr="0078248F">
        <w:rPr>
          <w:rFonts w:ascii="Times New Roman" w:hAnsi="Times New Roman"/>
          <w:b/>
          <w:bCs/>
          <w:sz w:val="24"/>
          <w:szCs w:val="24"/>
        </w:rPr>
        <w:t xml:space="preserve"> району </w:t>
      </w:r>
    </w:p>
    <w:p w14:paraId="3FE7C352" w14:textId="220BA84F" w:rsidR="005154BC" w:rsidRDefault="0078248F" w:rsidP="007824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248F">
        <w:rPr>
          <w:rFonts w:ascii="Times New Roman" w:hAnsi="Times New Roman"/>
          <w:b/>
          <w:bCs/>
          <w:sz w:val="24"/>
          <w:szCs w:val="24"/>
        </w:rPr>
        <w:t>Київської області</w:t>
      </w:r>
    </w:p>
    <w:p w14:paraId="37C4F1BB" w14:textId="77777777" w:rsidR="0078248F" w:rsidRDefault="0078248F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114324B4" w:rsidR="005154BC" w:rsidRPr="005C4A89" w:rsidRDefault="0078248F" w:rsidP="0000252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вулиць Героїв Майдану, Островського, пров. Санаторного, багатоквартирної та садибної житлової забудови в м. Буча </w:t>
      </w:r>
      <w:proofErr w:type="spellStart"/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5D6366">
        <w:rPr>
          <w:rFonts w:ascii="Times New Roman" w:hAnsi="Times New Roman"/>
          <w:sz w:val="24"/>
          <w:szCs w:val="24"/>
        </w:rPr>
        <w:t xml:space="preserve">  </w:t>
      </w:r>
      <w:r w:rsidR="005D6366" w:rsidRPr="007E4BF4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</w:t>
      </w:r>
      <w:r w:rsidR="005D6366" w:rsidRPr="0078248F">
        <w:rPr>
          <w:rFonts w:ascii="Times New Roman" w:hAnsi="Times New Roman"/>
          <w:sz w:val="24"/>
          <w:szCs w:val="24"/>
        </w:rPr>
        <w:t xml:space="preserve">орієнтовною площею 2,4 га, для розміщення торгівельної будівлі в межах вулиць Героїв Майдану, Островського, пров. Санаторного, багатоквартирної  та садибної житлової забудови в м. Буча </w:t>
      </w:r>
      <w:proofErr w:type="spellStart"/>
      <w:r w:rsidR="005D6366" w:rsidRPr="0078248F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5D6366" w:rsidRPr="0078248F">
        <w:rPr>
          <w:rFonts w:ascii="Times New Roman" w:hAnsi="Times New Roman"/>
          <w:sz w:val="24"/>
          <w:szCs w:val="24"/>
        </w:rPr>
        <w:t xml:space="preserve"> району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="005D6366" w:rsidRPr="005D6366">
        <w:rPr>
          <w:rFonts w:ascii="Times New Roman" w:hAnsi="Times New Roman"/>
          <w:sz w:val="24"/>
          <w:szCs w:val="24"/>
        </w:rPr>
        <w:t>№  1559-15-VІІІ  від 29.07.2021 р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5D6366">
        <w:rPr>
          <w:rFonts w:ascii="Times New Roman" w:hAnsi="Times New Roman" w:cs="Times New Roman"/>
          <w:sz w:val="24"/>
          <w:szCs w:val="24"/>
        </w:rPr>
        <w:t>03</w:t>
      </w:r>
      <w:r w:rsidR="00841678">
        <w:rPr>
          <w:rFonts w:ascii="Times New Roman" w:hAnsi="Times New Roman" w:cs="Times New Roman"/>
          <w:sz w:val="24"/>
          <w:szCs w:val="24"/>
        </w:rPr>
        <w:t>.</w:t>
      </w:r>
      <w:r w:rsidR="005D6366">
        <w:rPr>
          <w:rFonts w:ascii="Times New Roman" w:hAnsi="Times New Roman" w:cs="Times New Roman"/>
          <w:sz w:val="24"/>
          <w:szCs w:val="24"/>
        </w:rPr>
        <w:t>11</w:t>
      </w:r>
      <w:r w:rsidR="00841678">
        <w:rPr>
          <w:rFonts w:ascii="Times New Roman" w:hAnsi="Times New Roman" w:cs="Times New Roman"/>
          <w:sz w:val="24"/>
          <w:szCs w:val="24"/>
        </w:rPr>
        <w:t>.2023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31.</w:t>
      </w:r>
      <w:r w:rsidR="00841678">
        <w:rPr>
          <w:rFonts w:ascii="Times New Roman" w:hAnsi="Times New Roman" w:cs="Times New Roman"/>
          <w:sz w:val="24"/>
          <w:szCs w:val="24"/>
        </w:rPr>
        <w:t>0</w:t>
      </w:r>
      <w:r w:rsidR="005D6366">
        <w:rPr>
          <w:rFonts w:ascii="Times New Roman" w:hAnsi="Times New Roman" w:cs="Times New Roman"/>
          <w:sz w:val="24"/>
          <w:szCs w:val="24"/>
        </w:rPr>
        <w:t>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5D6366">
        <w:rPr>
          <w:rFonts w:ascii="Times New Roman" w:hAnsi="Times New Roman" w:cs="Times New Roman"/>
          <w:sz w:val="24"/>
          <w:szCs w:val="24"/>
        </w:rPr>
        <w:t>4</w:t>
      </w:r>
      <w:r w:rsidR="008E0193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01A9E8B4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5D6366" w:rsidRPr="005D6366">
        <w:rPr>
          <w:rFonts w:ascii="Times New Roman" w:hAnsi="Times New Roman" w:cs="Times New Roman"/>
          <w:sz w:val="24"/>
          <w:szCs w:val="24"/>
        </w:rPr>
        <w:t xml:space="preserve">орієнтовною площею 2,4 га, для розміщення торгівельної будівлі в межах вулиць Героїв Майдану, Островського, пров. Санаторного, багатоквартирної  та садибної житлової забудови в м. Буча </w:t>
      </w:r>
      <w:proofErr w:type="spellStart"/>
      <w:r w:rsidR="005D6366" w:rsidRPr="005D6366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5D6366" w:rsidRPr="005D6366">
        <w:rPr>
          <w:rFonts w:ascii="Times New Roman" w:hAnsi="Times New Roman" w:cs="Times New Roman"/>
          <w:sz w:val="24"/>
          <w:szCs w:val="24"/>
        </w:rPr>
        <w:t xml:space="preserve"> району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Start w:id="3" w:name="_GoBack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841678">
      <w:headerReference w:type="default" r:id="rId10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02528"/>
    <w:rsid w:val="001C05F7"/>
    <w:rsid w:val="002738C6"/>
    <w:rsid w:val="002927D8"/>
    <w:rsid w:val="002D56C0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F0FF6"/>
    <w:rsid w:val="00D24C5E"/>
    <w:rsid w:val="00D83810"/>
    <w:rsid w:val="00D92B40"/>
    <w:rsid w:val="00DA6AC2"/>
    <w:rsid w:val="00DF3230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4750-7ED1-4677-AF9F-63D5A811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2023-12-29T08:05:00Z</cp:lastPrinted>
  <dcterms:created xsi:type="dcterms:W3CDTF">2024-02-12T11:37:00Z</dcterms:created>
  <dcterms:modified xsi:type="dcterms:W3CDTF">2024-02-12T14:09:00Z</dcterms:modified>
</cp:coreProperties>
</file>